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81" w:rsidRPr="00AF2319" w:rsidRDefault="00D76644" w:rsidP="00D76644">
      <w:pPr>
        <w:tabs>
          <w:tab w:val="left" w:pos="13680"/>
        </w:tabs>
        <w:ind w:left="539"/>
        <w:jc w:val="right"/>
        <w:rPr>
          <w:rFonts w:ascii="Tahoma" w:hAnsi="Tahoma" w:cs="Tahoma"/>
          <w:sz w:val="22"/>
          <w:szCs w:val="22"/>
          <w:lang w:val="en-US"/>
        </w:rPr>
      </w:pPr>
      <w:bookmarkStart w:id="0" w:name="_GoBack"/>
      <w:bookmarkEnd w:id="0"/>
      <w:r w:rsidRPr="00D76644">
        <w:rPr>
          <w:rFonts w:ascii="Tahoma" w:hAnsi="Tahoma" w:cs="Tahoma"/>
          <w:sz w:val="22"/>
          <w:szCs w:val="22"/>
          <w:lang w:val="el-GR"/>
        </w:rPr>
        <w:tab/>
      </w:r>
    </w:p>
    <w:p w:rsidR="006F3001" w:rsidRDefault="006F3001" w:rsidP="001434D7">
      <w:pPr>
        <w:tabs>
          <w:tab w:val="left" w:pos="13680"/>
        </w:tabs>
        <w:ind w:left="539"/>
        <w:jc w:val="both"/>
        <w:rPr>
          <w:rFonts w:ascii="Tahoma" w:hAnsi="Tahoma" w:cs="Tahoma"/>
          <w:b/>
          <w:color w:val="0000FF"/>
          <w:szCs w:val="24"/>
          <w:highlight w:val="yellow"/>
          <w:lang w:val="el-GR"/>
        </w:rPr>
      </w:pPr>
    </w:p>
    <w:p w:rsidR="001434D7" w:rsidRPr="009F01EB" w:rsidRDefault="009F01EB" w:rsidP="00B82839">
      <w:pPr>
        <w:tabs>
          <w:tab w:val="left" w:pos="13680"/>
        </w:tabs>
        <w:jc w:val="both"/>
        <w:rPr>
          <w:rFonts w:ascii="Tahoma" w:hAnsi="Tahoma" w:cs="Tahoma"/>
          <w:b/>
          <w:color w:val="0000FF"/>
          <w:szCs w:val="24"/>
          <w:lang w:val="el-GR"/>
        </w:rPr>
      </w:pPr>
      <w:r w:rsidRPr="009F01EB">
        <w:rPr>
          <w:rFonts w:ascii="Tahoma" w:hAnsi="Tahoma" w:cs="Tahoma"/>
          <w:b/>
          <w:color w:val="0000FF"/>
          <w:szCs w:val="24"/>
          <w:lang w:val="el-GR"/>
        </w:rPr>
        <w:t xml:space="preserve">Παράδοση </w:t>
      </w:r>
      <w:r w:rsidR="006F3001" w:rsidRPr="009F01EB">
        <w:rPr>
          <w:rFonts w:ascii="Tahoma" w:hAnsi="Tahoma" w:cs="Tahoma"/>
          <w:b/>
          <w:color w:val="0000FF"/>
          <w:szCs w:val="24"/>
          <w:lang w:val="el-GR"/>
        </w:rPr>
        <w:t>χαρτών επικινδυνότητας του οδικού δικτύου</w:t>
      </w:r>
      <w:r w:rsidR="00EB75FC" w:rsidRPr="009F01EB">
        <w:rPr>
          <w:rFonts w:ascii="Tahoma" w:hAnsi="Tahoma" w:cs="Tahoma"/>
          <w:b/>
          <w:color w:val="0000FF"/>
          <w:szCs w:val="24"/>
          <w:lang w:val="el-GR"/>
        </w:rPr>
        <w:t xml:space="preserve"> από το Ευρωπαϊκό συγχρηματοδοτούμενο έργο SLAIN </w:t>
      </w:r>
      <w:r w:rsidR="00D438B9" w:rsidRPr="009F01EB">
        <w:rPr>
          <w:rFonts w:ascii="Tahoma" w:hAnsi="Tahoma" w:cs="Tahoma"/>
          <w:b/>
          <w:color w:val="0000FF"/>
          <w:szCs w:val="24"/>
          <w:lang w:val="el-GR"/>
        </w:rPr>
        <w:t xml:space="preserve">και το Ι.Ο.ΑΣ. «Πάνος Μυλωνάς» </w:t>
      </w:r>
      <w:r w:rsidR="00EB75FC" w:rsidRPr="009F01EB">
        <w:rPr>
          <w:rFonts w:ascii="Tahoma" w:hAnsi="Tahoma" w:cs="Tahoma"/>
          <w:b/>
          <w:color w:val="0000FF"/>
          <w:szCs w:val="24"/>
          <w:lang w:val="el-GR"/>
        </w:rPr>
        <w:t>στο Υπουργείο Υποδομών και Μεταφορών</w:t>
      </w:r>
    </w:p>
    <w:p w:rsidR="001434D7" w:rsidRPr="00967FC3" w:rsidRDefault="001434D7" w:rsidP="001434D7">
      <w:pPr>
        <w:tabs>
          <w:tab w:val="left" w:pos="13680"/>
        </w:tabs>
        <w:jc w:val="both"/>
        <w:rPr>
          <w:rFonts w:ascii="Tahoma" w:hAnsi="Tahoma" w:cs="Tahoma"/>
          <w:b/>
          <w:bCs/>
          <w:color w:val="0000FF"/>
          <w:sz w:val="20"/>
          <w:lang w:val="el-GR"/>
        </w:rPr>
      </w:pPr>
    </w:p>
    <w:p w:rsidR="001434D7" w:rsidRDefault="001434D7" w:rsidP="001434D7">
      <w:pPr>
        <w:tabs>
          <w:tab w:val="left" w:pos="13680"/>
        </w:tabs>
        <w:ind w:right="-79"/>
        <w:jc w:val="both"/>
        <w:rPr>
          <w:rFonts w:ascii="Tahoma" w:hAnsi="Tahoma" w:cs="Tahoma"/>
          <w:bCs/>
          <w:sz w:val="20"/>
          <w:lang w:val="el-GR"/>
        </w:rPr>
      </w:pPr>
    </w:p>
    <w:p w:rsidR="00B75F0A" w:rsidRDefault="00B75F0A" w:rsidP="007A4B06">
      <w:pPr>
        <w:spacing w:after="160" w:line="259" w:lineRule="auto"/>
        <w:jc w:val="both"/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</w:pPr>
      <w:r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To έργο SLAIN (SavingLivesAssessing and Improving TEN-T RoadNetworkSafety), εκπονείται από το Ινστιτούτο Οδικής Ασφάλειας «Πάνος Μυλωνάς» σε συνεργασία με το διεθνή Οργανισμό EuroRAP και εταίρους από την Ιταλία, Ισπανία και Κροατία, και </w:t>
      </w:r>
      <w:r w:rsidR="00693238" w:rsidRPr="00693238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συγ</w:t>
      </w:r>
      <w:r w:rsidRPr="00693238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χρηματοδοτείται</w:t>
      </w:r>
      <w:r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από την Ευρωπαϊ</w:t>
      </w:r>
      <w:r w:rsidR="00D438B9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κή Κοινότητα μέσω του Π</w:t>
      </w:r>
      <w:r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ρογράμματος CEF (Connecting Europe Facility 2014-2020), με τη σύμφωνη γνώμη του Υπουργείου Υποδομών και Μεταφορών.</w:t>
      </w:r>
    </w:p>
    <w:p w:rsidR="007A4B06" w:rsidRPr="002B6F3D" w:rsidRDefault="007A4B06" w:rsidP="007A4B06">
      <w:pPr>
        <w:spacing w:after="160" w:line="259" w:lineRule="auto"/>
        <w:jc w:val="both"/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</w:pPr>
      <w:r w:rsidRPr="002B6F3D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Το έργο έχει ως αντικείμενο την Οδική Ασφάλεια και ως αποτ</w:t>
      </w:r>
      <w:r w:rsidR="00125DF7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έλεσμα </w:t>
      </w:r>
      <w:r w:rsidRPr="002B6F3D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(μεταξύ άλλων) τη δημιουργία χάρτη κατάταξης επικινδυνότητας του Διευρωπαϊκού Οδικού Δικτύου της Ελλάδας. Η εν λόγω δράση είναι συμβατή με την οδηγία 2008/96 του Ευρωπαϊκού Κοινοβουλίου (που έχει ενσωματωθεί στην Ελληνική Νομοθεσία με το ΠΔ 104/2011 (ΦΕΚ 237/Α/7-11-2011)) αλλά και με την αναθεώρησή της, όπου προβλέπεται η αξιολόγηση οδικής ασφάλειας οδικών δικτύων. </w:t>
      </w:r>
    </w:p>
    <w:p w:rsidR="00B75F0A" w:rsidRPr="00B75F0A" w:rsidRDefault="00125DF7" w:rsidP="00B75F0A">
      <w:pPr>
        <w:spacing w:after="160" w:line="259" w:lineRule="auto"/>
        <w:jc w:val="both"/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</w:pPr>
      <w:r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Η δημιουργία των χαρτών ε</w:t>
      </w:r>
      <w:r w:rsidR="00B75F0A"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πικινδυνότητας και ο υπολογισμός των σχετικών δεικτών πραγματοποιήθηκε σύμφωνα με τη διεθνή μεθοδολογία EuroRAP και αναφέρεται στο Διευρωπαϊκό Οδικό δίκτυο της 4ετίας 2014-2017 (με τα αντίστοιχα διαθέσιμα στοιχεία). </w:t>
      </w:r>
      <w:r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Η μεθοδολογία αυτή</w:t>
      </w:r>
      <w:r w:rsidRPr="002B6F3D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είναι πλήρως συμβατή και αποδεκτή από τη νέα Ευρωπαϊκή Οδηγία αλλά και άλλους διεθνείς οργανισμούς (WHO, World Bank).Δίνεται έτσι η δυνατότητα άμεσης σύγκρισης μεταξύ διαφορετικών χωρών, καθώς η ίδια μεθοδολογία εφαρμόζεται διεθνώς, σε </w:t>
      </w:r>
      <w:r w:rsidR="00D35B1C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περισσότερες από </w:t>
      </w:r>
      <w:r w:rsidRPr="002B6F3D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100 χώρες μέχρι σήμερα.</w:t>
      </w:r>
      <w:r w:rsidR="00B75F0A"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Στο τέλος του έργου (Μάρτιος 2021) θα </w:t>
      </w:r>
      <w:r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πραγματοποιηθεί</w:t>
      </w:r>
      <w:r w:rsidR="00B75F0A"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επικαιροποίηση του ίδιου χάρτη </w:t>
      </w:r>
      <w:r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ώστε να</w:t>
      </w:r>
      <w:r w:rsidR="00B75F0A"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περιλαμβάνει και πιο πρόσφατα στοιχεία που θα είναι τότε διαθέσιμα. </w:t>
      </w:r>
      <w:r w:rsid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Οι δύο</w:t>
      </w:r>
      <w:r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χ</w:t>
      </w:r>
      <w:r w:rsidR="00B75F0A"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άρτες που δημιουργήθηκαν </w:t>
      </w:r>
      <w:r w:rsidRPr="00125DF7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στο πλαίσιο του </w:t>
      </w:r>
      <w:r w:rsidR="00B75F0A" w:rsidRPr="00125DF7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έργου SLAIN</w:t>
      </w:r>
      <w:r w:rsidR="00B75F0A"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αφορούν στην πυκνότητα των συμβάντων και στο δείκτη επικινδυνότητας, που αποτελούν το συλλογικό και το ατομικό επίπεδο </w:t>
      </w:r>
      <w:r w:rsidR="00B75F0A" w:rsidRPr="0065343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επικινδυνότητας των χρηστών της οδού</w:t>
      </w:r>
      <w:r w:rsidR="00D35B1C" w:rsidRPr="0065343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, αντίστοιχα. </w:t>
      </w:r>
      <w:r w:rsidR="00B75F0A" w:rsidRPr="0065343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Η επικινδυνότητα </w:t>
      </w:r>
      <w:r w:rsidRPr="0065343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αναπαρίσταται μ</w:t>
      </w:r>
      <w:r w:rsidR="00B75F0A" w:rsidRPr="0065343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ε διαφορετικές χρωματικές αποχρώσεις (μαύρο-κόκκινο-πορτοκαλί-κίτρινο-πράσινο, από το υψηλότερο προς το χαμηλότερο</w:t>
      </w:r>
      <w:r w:rsid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επίπεδο επικινδυνότητας).</w:t>
      </w:r>
    </w:p>
    <w:p w:rsidR="007A4B06" w:rsidRPr="0065343A" w:rsidRDefault="007A4B06" w:rsidP="007A4B06">
      <w:pPr>
        <w:spacing w:after="160" w:line="259" w:lineRule="auto"/>
        <w:jc w:val="both"/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</w:pPr>
      <w:r w:rsidRPr="002B6F3D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Η Πρόεδρος</w:t>
      </w:r>
      <w:r w:rsidR="00125DF7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του Ινστιτούτου</w:t>
      </w:r>
      <w:r w:rsidR="002B6F3D" w:rsidRPr="002B6F3D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, κυρία Βασιλική Δανέλλη-Μυλωνά</w:t>
      </w:r>
      <w:r w:rsidRPr="002B6F3D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, και στελέχη του Ι.Ο.ΑΣ. «Πάνος Μυλωνάς», </w:t>
      </w:r>
      <w:r w:rsidRP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παρ</w:t>
      </w:r>
      <w:r w:rsidR="00434D42" w:rsidRP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έδωσαν </w:t>
      </w:r>
      <w:r w:rsidRP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σήμερα</w:t>
      </w:r>
      <w:r w:rsidRPr="002B6F3D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στ</w:t>
      </w:r>
      <w:r w:rsidR="009F01EB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ο Υπουργείο Υποδομών &amp; Μεταφορών </w:t>
      </w:r>
      <w:r w:rsidRPr="002B6F3D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τους χάρτες </w:t>
      </w:r>
      <w:r w:rsidRPr="0065343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επικινδυνότητας</w:t>
      </w:r>
      <w:r w:rsidR="009F01EB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,με την Ελλάδα να τεκμηριών</w:t>
      </w:r>
      <w:r w:rsidRPr="0065343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ει στους Ευρωπαϊκούς θεσμούς την τήρηση των υποχρεώσεών της.</w:t>
      </w:r>
      <w:r w:rsidR="00434D42" w:rsidRPr="0065343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Ο Γενικός</w:t>
      </w:r>
      <w:r w:rsidR="00434D42" w:rsidRP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Γραμματέας </w:t>
      </w:r>
      <w:r w:rsid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Μεταφορών,κ. Νίκος</w:t>
      </w:r>
      <w:r w:rsidR="00434D42" w:rsidRP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Σταθόπουλος</w:t>
      </w:r>
      <w:r w:rsid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,</w:t>
      </w:r>
      <w:r w:rsidR="00434D42" w:rsidRP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εκπροσωπ</w:t>
      </w:r>
      <w:r w:rsid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ώντας τον Υ</w:t>
      </w:r>
      <w:r w:rsidR="00434D42" w:rsidRP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πουργό</w:t>
      </w:r>
      <w:r w:rsidR="009F01EB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Υποδομών &amp; Μεταφορών, κ. Κώστα Καραμανλή</w:t>
      </w:r>
      <w:r w:rsid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,</w:t>
      </w:r>
      <w:r w:rsidR="009F01EB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ευχαρίστησε την Π</w:t>
      </w:r>
      <w:r w:rsidR="00434D42" w:rsidRP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ρόεδρο του </w:t>
      </w:r>
      <w:r w:rsid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Ινστιτούτου Οδικής Ασφάλειας (Ι.Ο.ΑΣ.) «Πάνος Μυλωνάς»</w:t>
      </w:r>
      <w:r w:rsidR="00434D42" w:rsidRP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για την παράδοση των χαρ</w:t>
      </w:r>
      <w:r w:rsid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τών και εξέφρασε την ικανοποίησή</w:t>
      </w:r>
      <w:r w:rsidR="00434D42" w:rsidRP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του </w:t>
      </w:r>
      <w:r w:rsidR="00434D42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«</w:t>
      </w:r>
      <w:r w:rsidR="00434D42" w:rsidRPr="00434D42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για τ</w:t>
      </w:r>
      <w:r w:rsidR="009F01EB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ο έργο που συντελείται από τις Υ</w:t>
      </w:r>
      <w:r w:rsidR="00434D42" w:rsidRPr="00434D42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πηρεσίες και τους συνεργάτες του Υπουργείου, </w:t>
      </w:r>
      <w:r w:rsidR="009F01EB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για ένα θέμα το οποίο</w:t>
      </w:r>
      <w:r w:rsidR="00434D42" w:rsidRPr="00434D42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 ε</w:t>
      </w:r>
      <w:r w:rsidR="009F01EB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ίναι ιδιαίτερα σημαντικό για το</w:t>
      </w:r>
      <w:r w:rsidR="00434D42" w:rsidRPr="00434D42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 στρατηγικό </w:t>
      </w:r>
      <w:r w:rsidR="00434D42" w:rsidRPr="00434D42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lastRenderedPageBreak/>
        <w:t xml:space="preserve">σχεδιασμό των υποδομών </w:t>
      </w:r>
      <w:r w:rsidR="009F01EB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στη χώρα</w:t>
      </w:r>
      <w:r w:rsidR="00434D42" w:rsidRPr="00434D42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 και για την ιεράρχηση τ</w:t>
      </w:r>
      <w:r w:rsidR="00434D42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ων παρεμβάσεων σε επίπεδο Οδικής Ασφάλειας.»</w:t>
      </w:r>
    </w:p>
    <w:p w:rsidR="008A5F0D" w:rsidRPr="0065343A" w:rsidRDefault="002B6F3D" w:rsidP="007A4B06">
      <w:pPr>
        <w:spacing w:after="160" w:line="259" w:lineRule="auto"/>
        <w:jc w:val="both"/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</w:pPr>
      <w:r w:rsidRPr="0065343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Σύμφωνα με την κυρία Δανέλλη-Μυλωνά </w:t>
      </w:r>
      <w:r w:rsidR="008A5F0D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«</w:t>
      </w:r>
      <w:r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η</w:t>
      </w:r>
      <w:r w:rsidR="008A5F0D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 εποικοδομητική μας συνεργασία με τον Οργανισμό </w:t>
      </w:r>
      <w:r w:rsidR="008A5F0D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n-US"/>
        </w:rPr>
        <w:t>EuroRAP</w:t>
      </w:r>
      <w:r w:rsidR="00125DF7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, ενεργό μέλος του οποίου είναι το Ι.Ο.ΑΣ. «Πάνος Μυλωνάς» από το 2010,</w:t>
      </w:r>
      <w:r w:rsidR="0065343A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 και με </w:t>
      </w:r>
      <w:r w:rsidR="008A5F0D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τους εταίρους από άλλες Ευρωπαϊκές χώρες</w:t>
      </w:r>
      <w:r w:rsidR="00125DF7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, καθώς και</w:t>
      </w:r>
      <w:r w:rsidR="008A5F0D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 η </w:t>
      </w:r>
      <w:r w:rsidR="009F01EB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αμέριστη </w:t>
      </w:r>
      <w:r w:rsidR="008A5F0D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υποστήριξη από το Υπουργείο Υποδομών </w:t>
      </w:r>
      <w:r w:rsidR="009F01EB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&amp;</w:t>
      </w:r>
      <w:r w:rsidR="008A5F0D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Μεταφορών στο πλαίσιο του προγράμματος SL</w:t>
      </w:r>
      <w:r w:rsidR="001A67BE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AIN, είναι ιδιαίτερα σημαντικές. Η ενίσχυση της Οδικής Ασφάλειας στην Ελλάδα </w:t>
      </w:r>
      <w:r w:rsidR="009F01EB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αποτελεί</w:t>
      </w:r>
      <w:r w:rsidR="008A5F0D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 έργο πνοής συ</w:t>
      </w:r>
      <w:r w:rsidR="00B85279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νεισφέροντας </w:t>
      </w:r>
      <w:r w:rsidR="008A5F0D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στην ενημέρωση και την π</w:t>
      </w:r>
      <w:r w:rsidR="00B85279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ροστασία της ζωής στους δρόμους. Χαιρόμαστε ιδιαίτερα που σήμερα στη χώρα μας έχουμε ένα σύγχρονο δίκτυο αυτοκινητοδρόμων που συμβάλλει στις ασφαλείς μετακινήσεις όλων των χρηστών του δρόμου</w:t>
      </w:r>
      <w:r w:rsidR="009F01EB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 xml:space="preserve"> και </w:t>
      </w:r>
      <w:r w:rsidR="00B82839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σ</w:t>
      </w:r>
      <w:r w:rsidR="009F01EB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την ανάπτυξη του τόπου</w:t>
      </w:r>
      <w:r w:rsidR="00B85279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.</w:t>
      </w:r>
      <w:r w:rsidR="0065343A" w:rsidRPr="0065343A">
        <w:rPr>
          <w:rFonts w:ascii="Tahoma" w:eastAsiaTheme="minorHAnsi" w:hAnsi="Tahoma" w:cs="Tahoma"/>
          <w:i/>
          <w:iCs w:val="0"/>
          <w:sz w:val="22"/>
          <w:szCs w:val="22"/>
          <w:shd w:val="clear" w:color="auto" w:fill="FFFFFF"/>
          <w:lang w:val="el-GR"/>
        </w:rPr>
        <w:t>»</w:t>
      </w:r>
    </w:p>
    <w:p w:rsidR="00125DF7" w:rsidRPr="00B75F0A" w:rsidRDefault="00125DF7" w:rsidP="00125DF7">
      <w:pPr>
        <w:spacing w:after="160" w:line="259" w:lineRule="auto"/>
        <w:jc w:val="both"/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</w:pPr>
      <w:r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Όταν στο επόμενο χρονικό διάστημα, οι αρμόδιες Υπηρεσίες ορίσουν το βασικό (Primary) οδικό δίκτυο της Ελλάδας, σύμφωνα με την απαίτηση της Ευρωπαϊκής Οδηγίας 2019/</w:t>
      </w:r>
      <w:r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193</w:t>
      </w:r>
      <w:r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6, στην αναθεωρημένη έκδοση των χαρτών θα συμπεριληφθεί </w:t>
      </w:r>
      <w:r w:rsidR="0065343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το βασικό</w:t>
      </w:r>
      <w:r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 xml:space="preserve"> οδικό δίκτυο.</w:t>
      </w:r>
    </w:p>
    <w:p w:rsidR="00125DF7" w:rsidRPr="00B75F0A" w:rsidRDefault="00125DF7" w:rsidP="00125DF7">
      <w:pPr>
        <w:spacing w:after="160" w:line="259" w:lineRule="auto"/>
        <w:jc w:val="both"/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</w:pPr>
      <w:r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Με την υιοθέτηση των χαρτών από το Υπουργείο, η Ελλάδα είναι σύμφωνη με τις απαιτήσεις της Οδηγίας 2008/96 στην Ελλάδα (ΠΔ 104/2011) καθώς και της αναθεώρησης της 2019/</w:t>
      </w:r>
      <w:r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193</w:t>
      </w:r>
      <w:r w:rsidRPr="00B75F0A"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6</w:t>
      </w:r>
      <w:r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  <w:t>.</w:t>
      </w:r>
    </w:p>
    <w:p w:rsidR="007A4B06" w:rsidRPr="002B6F3D" w:rsidRDefault="007A4B06" w:rsidP="001434D7">
      <w:pPr>
        <w:spacing w:after="160" w:line="259" w:lineRule="auto"/>
        <w:jc w:val="both"/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</w:pPr>
    </w:p>
    <w:p w:rsidR="007A4B06" w:rsidRPr="002B6F3D" w:rsidRDefault="007A4B06" w:rsidP="001434D7">
      <w:pPr>
        <w:spacing w:after="160" w:line="259" w:lineRule="auto"/>
        <w:jc w:val="both"/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</w:pPr>
    </w:p>
    <w:p w:rsidR="007A4B06" w:rsidRPr="002B6F3D" w:rsidRDefault="007A4B06" w:rsidP="001434D7">
      <w:pPr>
        <w:spacing w:after="160" w:line="259" w:lineRule="auto"/>
        <w:jc w:val="both"/>
        <w:rPr>
          <w:rFonts w:ascii="Tahoma" w:eastAsiaTheme="minorHAnsi" w:hAnsi="Tahoma" w:cs="Tahoma"/>
          <w:iCs w:val="0"/>
          <w:sz w:val="22"/>
          <w:szCs w:val="22"/>
          <w:shd w:val="clear" w:color="auto" w:fill="FFFFFF"/>
          <w:lang w:val="el-GR"/>
        </w:rPr>
      </w:pPr>
    </w:p>
    <w:p w:rsidR="000958FA" w:rsidRPr="002B6F3D" w:rsidRDefault="000958FA" w:rsidP="00277A1C">
      <w:pPr>
        <w:tabs>
          <w:tab w:val="left" w:pos="13680"/>
        </w:tabs>
        <w:ind w:right="-79"/>
        <w:rPr>
          <w:rFonts w:ascii="Tahoma" w:hAnsi="Tahoma" w:cs="Tahoma"/>
          <w:bCs/>
          <w:i/>
          <w:sz w:val="22"/>
          <w:szCs w:val="22"/>
          <w:lang w:val="el-GR"/>
        </w:rPr>
      </w:pPr>
    </w:p>
    <w:sectPr w:rsidR="000958FA" w:rsidRPr="002B6F3D" w:rsidSect="00960C0E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94" w:right="1134" w:bottom="680" w:left="1134" w:header="340" w:footer="3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A48" w:rsidRDefault="001A0A48">
      <w:r>
        <w:separator/>
      </w:r>
    </w:p>
  </w:endnote>
  <w:endnote w:type="continuationSeparator" w:id="1">
    <w:p w:rsidR="001A0A48" w:rsidRDefault="001A0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00F" w:rsidRDefault="003D52FF" w:rsidP="004346C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F300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300F" w:rsidRDefault="00EF300F" w:rsidP="00EF300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7F" w:rsidRPr="001C566F" w:rsidRDefault="003D52FF" w:rsidP="001C566F">
    <w:pPr>
      <w:rPr>
        <w:lang w:val="en-US"/>
      </w:rPr>
    </w:pPr>
    <w:r w:rsidRPr="003D52FF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4098" type="#_x0000_t32" style="position:absolute;margin-left:900pt;margin-top:-44.3pt;width:495.6pt;height:0;z-index:251658240;visibility:visible;mso-wrap-distance-top:-3e-5mm;mso-wrap-distance-bottom:-3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" strokecolor="red">
          <w10:wrap anchorx="margin"/>
        </v:shape>
      </w:pict>
    </w:r>
  </w:p>
  <w:p w:rsidR="00693081" w:rsidRDefault="00E637E9" w:rsidP="00E637E9">
    <w:pPr>
      <w:pStyle w:val="a4"/>
      <w:jc w:val="center"/>
    </w:pPr>
    <w:r>
      <w:rPr>
        <w:noProof/>
        <w:lang w:val="el-GR" w:eastAsia="el-GR"/>
      </w:rPr>
      <w:drawing>
        <wp:inline distT="0" distB="0" distL="0" distR="0">
          <wp:extent cx="5114925" cy="895350"/>
          <wp:effectExtent l="0" t="0" r="9525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 LOGO FOR SL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49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6F" w:rsidRDefault="00AF2319">
    <w:pPr>
      <w:pStyle w:val="a4"/>
    </w:pPr>
    <w:r>
      <w:rPr>
        <w:noProof/>
        <w:lang w:val="el-GR" w:eastAsia="el-GR"/>
      </w:rPr>
      <w:drawing>
        <wp:inline distT="0" distB="0" distL="0" distR="0">
          <wp:extent cx="5114925" cy="895350"/>
          <wp:effectExtent l="0" t="0" r="9525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 LOGO FOR SL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49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566F"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12300585</wp:posOffset>
          </wp:positionH>
          <wp:positionV relativeFrom="paragraph">
            <wp:posOffset>45720</wp:posOffset>
          </wp:positionV>
          <wp:extent cx="598170" cy="401320"/>
          <wp:effectExtent l="0" t="0" r="0" b="0"/>
          <wp:wrapSquare wrapText="bothSides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IOA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A48" w:rsidRDefault="001A0A48">
      <w:r>
        <w:separator/>
      </w:r>
    </w:p>
  </w:footnote>
  <w:footnote w:type="continuationSeparator" w:id="1">
    <w:p w:rsidR="001A0A48" w:rsidRDefault="001A0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28" w:type="dxa"/>
      <w:tblLook w:val="0000"/>
    </w:tblPr>
    <w:tblGrid>
      <w:gridCol w:w="7842"/>
      <w:gridCol w:w="1986"/>
    </w:tblGrid>
    <w:tr w:rsidR="006C6BF3">
      <w:trPr>
        <w:cantSplit/>
      </w:trPr>
      <w:tc>
        <w:tcPr>
          <w:tcW w:w="9828" w:type="dxa"/>
          <w:gridSpan w:val="2"/>
        </w:tcPr>
        <w:p w:rsidR="0031006D" w:rsidRPr="0031006D" w:rsidRDefault="0031006D" w:rsidP="0031006D">
          <w:pPr>
            <w:pStyle w:val="a7"/>
            <w:ind w:left="-171" w:firstLine="171"/>
            <w:jc w:val="center"/>
            <w:outlineLvl w:val="0"/>
            <w:rPr>
              <w:i w:val="0"/>
              <w:iCs w:val="0"/>
              <w:lang w:val="en-US"/>
            </w:rPr>
          </w:pPr>
          <w:r>
            <w:rPr>
              <w:rFonts w:ascii="Arial" w:hAnsi="Arial"/>
              <w:i w:val="0"/>
              <w:sz w:val="22"/>
              <w:lang w:val="en-US"/>
            </w:rPr>
            <w:t>HELLENICRESEARCH AND EDUCATIONAL INSTITUTE ‘PANOS MYLONAS’ FOR THE ROAD  SAFETY AND THE PREVENTION/ REDUCTION OF TRAFFIC ACCIDENTS</w:t>
          </w:r>
        </w:p>
        <w:p w:rsidR="006C6BF3" w:rsidRPr="0031006D" w:rsidRDefault="006C6BF3" w:rsidP="00ED3701">
          <w:pPr>
            <w:pStyle w:val="a7"/>
            <w:jc w:val="center"/>
            <w:outlineLvl w:val="0"/>
            <w:rPr>
              <w:i w:val="0"/>
              <w:iCs w:val="0"/>
              <w:lang w:val="en-US"/>
            </w:rPr>
          </w:pPr>
        </w:p>
      </w:tc>
    </w:tr>
    <w:tr w:rsidR="006C6BF3">
      <w:trPr>
        <w:cantSplit/>
        <w:trHeight w:val="939"/>
      </w:trPr>
      <w:tc>
        <w:tcPr>
          <w:tcW w:w="8568" w:type="dxa"/>
        </w:tcPr>
        <w:p w:rsidR="006C6BF3" w:rsidRPr="00D57DCA" w:rsidRDefault="002D0CEB" w:rsidP="001C566F">
          <w:pPr>
            <w:pStyle w:val="a7"/>
            <w:jc w:val="left"/>
            <w:outlineLvl w:val="0"/>
            <w:rPr>
              <w:i w:val="0"/>
              <w:iCs w:val="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125730</wp:posOffset>
                </wp:positionV>
                <wp:extent cx="866775" cy="640080"/>
                <wp:effectExtent l="0" t="0" r="9525" b="7620"/>
                <wp:wrapSquare wrapText="bothSides"/>
                <wp:docPr id="7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RSI en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1743075</wp:posOffset>
                </wp:positionH>
                <wp:positionV relativeFrom="paragraph">
                  <wp:posOffset>127000</wp:posOffset>
                </wp:positionV>
                <wp:extent cx="2200275" cy="603250"/>
                <wp:effectExtent l="0" t="0" r="9525" b="6350"/>
                <wp:wrapSquare wrapText="bothSides"/>
                <wp:docPr id="10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URO RAP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60" w:type="dxa"/>
        </w:tcPr>
        <w:p w:rsidR="006C6BF3" w:rsidRPr="00D57DCA" w:rsidRDefault="002D0CEB">
          <w:pPr>
            <w:pStyle w:val="a7"/>
            <w:jc w:val="center"/>
            <w:outlineLvl w:val="0"/>
            <w:rPr>
              <w:i w:val="0"/>
              <w:iCs w:val="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107950</wp:posOffset>
                </wp:positionV>
                <wp:extent cx="1122045" cy="600075"/>
                <wp:effectExtent l="0" t="0" r="1905" b="9525"/>
                <wp:wrapSquare wrapText="bothSides"/>
                <wp:docPr id="11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LAIN l_fnl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04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C6BF3" w:rsidRDefault="006C6BF3">
          <w:pPr>
            <w:pStyle w:val="a7"/>
            <w:outlineLvl w:val="0"/>
            <w:rPr>
              <w:i w:val="0"/>
              <w:iCs w:val="0"/>
              <w:lang w:val="en-US"/>
            </w:rPr>
          </w:pPr>
        </w:p>
        <w:p w:rsidR="006C6BF3" w:rsidRDefault="006C6BF3">
          <w:pPr>
            <w:pStyle w:val="a7"/>
            <w:outlineLvl w:val="0"/>
            <w:rPr>
              <w:i w:val="0"/>
              <w:iCs w:val="0"/>
              <w:lang w:val="en-US"/>
            </w:rPr>
          </w:pPr>
        </w:p>
      </w:tc>
    </w:tr>
  </w:tbl>
  <w:p w:rsidR="0031006D" w:rsidRPr="00FB10EF" w:rsidRDefault="003D52FF" w:rsidP="0031006D">
    <w:pPr>
      <w:pStyle w:val="a3"/>
      <w:rPr>
        <w:rFonts w:ascii="Tahoma" w:hAnsi="Tahoma" w:cs="Tahoma"/>
        <w:sz w:val="16"/>
        <w:szCs w:val="16"/>
        <w:lang w:val="en-US"/>
      </w:rPr>
    </w:pPr>
    <w:r w:rsidRPr="003D52F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168.9pt;margin-top:1.15pt;width:148.5pt;height:27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LN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" filled="f" stroked="f">
          <v:textbox>
            <w:txbxContent>
              <w:p w:rsidR="0031006D" w:rsidRPr="001434D7" w:rsidRDefault="001434D7" w:rsidP="0031006D">
                <w:pPr>
                  <w:jc w:val="center"/>
                  <w:rPr>
                    <w:rFonts w:ascii="Tahoma" w:hAnsi="Tahoma" w:cs="Tahoma"/>
                    <w:b/>
                    <w:szCs w:val="24"/>
                    <w:lang w:val="el-GR"/>
                  </w:rPr>
                </w:pPr>
                <w:r>
                  <w:rPr>
                    <w:rFonts w:ascii="Tahoma" w:hAnsi="Tahoma" w:cs="Tahoma"/>
                    <w:b/>
                    <w:szCs w:val="24"/>
                    <w:lang w:val="el-GR"/>
                  </w:rPr>
                  <w:t>ΔΕΛΤΙΟ ΤΥΠΟΥ</w:t>
                </w:r>
              </w:p>
              <w:p w:rsidR="006C6BF3" w:rsidRPr="00ED3701" w:rsidRDefault="006C6BF3">
                <w:pPr>
                  <w:jc w:val="center"/>
                  <w:rPr>
                    <w:rFonts w:ascii="Tahoma" w:hAnsi="Tahoma" w:cs="Tahoma"/>
                    <w:b/>
                    <w:szCs w:val="24"/>
                    <w:lang w:val="el-GR"/>
                  </w:rPr>
                </w:pPr>
              </w:p>
            </w:txbxContent>
          </v:textbox>
        </v:shape>
      </w:pict>
    </w:r>
    <w:r w:rsidR="00E06721" w:rsidRPr="00D57DCA">
      <w:rPr>
        <w:sz w:val="16"/>
        <w:szCs w:val="16"/>
        <w:lang w:val="en-US"/>
      </w:rPr>
      <w:tab/>
    </w:r>
    <w:r w:rsidR="00E06721" w:rsidRPr="00D57DCA">
      <w:rPr>
        <w:sz w:val="16"/>
        <w:szCs w:val="16"/>
        <w:lang w:val="en-US"/>
      </w:rPr>
      <w:tab/>
    </w:r>
    <w:r w:rsidR="00EB75FC">
      <w:rPr>
        <w:rFonts w:ascii="Tahoma" w:hAnsi="Tahoma" w:cs="Tahoma"/>
        <w:sz w:val="16"/>
        <w:szCs w:val="16"/>
        <w:lang w:val="el-GR"/>
      </w:rPr>
      <w:t>Αθήνα, 24/6/2020</w:t>
    </w:r>
  </w:p>
  <w:p w:rsidR="006C6BF3" w:rsidRPr="00FB10EF" w:rsidRDefault="006C6BF3">
    <w:pPr>
      <w:pStyle w:val="a3"/>
      <w:rPr>
        <w:rFonts w:ascii="Tahoma" w:hAnsi="Tahoma" w:cs="Tahoma"/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64B97"/>
    <w:multiLevelType w:val="hybridMultilevel"/>
    <w:tmpl w:val="A0AC5C66"/>
    <w:lvl w:ilvl="0" w:tplc="2CA2B794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Arial Unicode MS" w:hAnsi="Symbol" w:cs="Times New Roman" w:hint="default"/>
      </w:rPr>
    </w:lvl>
    <w:lvl w:ilvl="1" w:tplc="08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13">
      <w:start w:val="1"/>
      <w:numFmt w:val="upperRoman"/>
      <w:lvlText w:val="%4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4" w:tplc="3E72FC6E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4F937FE"/>
    <w:multiLevelType w:val="hybridMultilevel"/>
    <w:tmpl w:val="7AA8F3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96A5E"/>
    <w:multiLevelType w:val="hybridMultilevel"/>
    <w:tmpl w:val="EC40053C"/>
    <w:lvl w:ilvl="0" w:tplc="38687E5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67864BFE"/>
    <w:multiLevelType w:val="hybridMultilevel"/>
    <w:tmpl w:val="2A1CC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Straight Arrow Connector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253A5"/>
    <w:rsid w:val="00010B8E"/>
    <w:rsid w:val="00015D30"/>
    <w:rsid w:val="0002399C"/>
    <w:rsid w:val="00042436"/>
    <w:rsid w:val="000553C5"/>
    <w:rsid w:val="000748D4"/>
    <w:rsid w:val="000758C7"/>
    <w:rsid w:val="00085088"/>
    <w:rsid w:val="000937D6"/>
    <w:rsid w:val="000958FA"/>
    <w:rsid w:val="000A2754"/>
    <w:rsid w:val="000A41BA"/>
    <w:rsid w:val="000C4299"/>
    <w:rsid w:val="000C6487"/>
    <w:rsid w:val="000E2805"/>
    <w:rsid w:val="000E2DB4"/>
    <w:rsid w:val="000F1C76"/>
    <w:rsid w:val="000F520B"/>
    <w:rsid w:val="000F7A03"/>
    <w:rsid w:val="00101264"/>
    <w:rsid w:val="00102DCF"/>
    <w:rsid w:val="00106AB2"/>
    <w:rsid w:val="001176F6"/>
    <w:rsid w:val="00122481"/>
    <w:rsid w:val="00125DF7"/>
    <w:rsid w:val="0012689E"/>
    <w:rsid w:val="001344AC"/>
    <w:rsid w:val="001358EF"/>
    <w:rsid w:val="001434D7"/>
    <w:rsid w:val="001459B5"/>
    <w:rsid w:val="001500A0"/>
    <w:rsid w:val="00152341"/>
    <w:rsid w:val="00160054"/>
    <w:rsid w:val="00162678"/>
    <w:rsid w:val="001629CC"/>
    <w:rsid w:val="00166D38"/>
    <w:rsid w:val="00171B2D"/>
    <w:rsid w:val="00171CE4"/>
    <w:rsid w:val="001724A6"/>
    <w:rsid w:val="00185155"/>
    <w:rsid w:val="00186A47"/>
    <w:rsid w:val="001A0A48"/>
    <w:rsid w:val="001A2DBE"/>
    <w:rsid w:val="001A50CB"/>
    <w:rsid w:val="001A67BE"/>
    <w:rsid w:val="001A70CF"/>
    <w:rsid w:val="001C06F4"/>
    <w:rsid w:val="001C566F"/>
    <w:rsid w:val="001C7050"/>
    <w:rsid w:val="001D2993"/>
    <w:rsid w:val="001E14F8"/>
    <w:rsid w:val="001E710F"/>
    <w:rsid w:val="001F44D1"/>
    <w:rsid w:val="001F7385"/>
    <w:rsid w:val="00205955"/>
    <w:rsid w:val="00210F61"/>
    <w:rsid w:val="002234DE"/>
    <w:rsid w:val="002250FC"/>
    <w:rsid w:val="00242320"/>
    <w:rsid w:val="0024396C"/>
    <w:rsid w:val="0024562A"/>
    <w:rsid w:val="002460D8"/>
    <w:rsid w:val="0026273B"/>
    <w:rsid w:val="00263B75"/>
    <w:rsid w:val="002649F9"/>
    <w:rsid w:val="00265A2F"/>
    <w:rsid w:val="0026795B"/>
    <w:rsid w:val="00277A1C"/>
    <w:rsid w:val="00281DAA"/>
    <w:rsid w:val="00290819"/>
    <w:rsid w:val="0029151D"/>
    <w:rsid w:val="002A5B6E"/>
    <w:rsid w:val="002A66CB"/>
    <w:rsid w:val="002B22CF"/>
    <w:rsid w:val="002B3FAA"/>
    <w:rsid w:val="002B3FBE"/>
    <w:rsid w:val="002B52EC"/>
    <w:rsid w:val="002B6F3D"/>
    <w:rsid w:val="002C2A32"/>
    <w:rsid w:val="002C69B5"/>
    <w:rsid w:val="002D0CEB"/>
    <w:rsid w:val="002D3D61"/>
    <w:rsid w:val="002D3D66"/>
    <w:rsid w:val="002D6374"/>
    <w:rsid w:val="002D6E61"/>
    <w:rsid w:val="002E4028"/>
    <w:rsid w:val="002F59DF"/>
    <w:rsid w:val="002F6E7A"/>
    <w:rsid w:val="002F7BD5"/>
    <w:rsid w:val="003043E1"/>
    <w:rsid w:val="00304F9B"/>
    <w:rsid w:val="003074D8"/>
    <w:rsid w:val="0031006D"/>
    <w:rsid w:val="00310699"/>
    <w:rsid w:val="0031112B"/>
    <w:rsid w:val="00312BC8"/>
    <w:rsid w:val="00321D79"/>
    <w:rsid w:val="003227AC"/>
    <w:rsid w:val="00332A22"/>
    <w:rsid w:val="00333949"/>
    <w:rsid w:val="00333CCB"/>
    <w:rsid w:val="003410B2"/>
    <w:rsid w:val="00345080"/>
    <w:rsid w:val="003543F9"/>
    <w:rsid w:val="00357A3D"/>
    <w:rsid w:val="00361483"/>
    <w:rsid w:val="00372C46"/>
    <w:rsid w:val="003747D6"/>
    <w:rsid w:val="00376D37"/>
    <w:rsid w:val="00390FB0"/>
    <w:rsid w:val="00391FCB"/>
    <w:rsid w:val="003979B5"/>
    <w:rsid w:val="003A3D63"/>
    <w:rsid w:val="003A641C"/>
    <w:rsid w:val="003B2EE7"/>
    <w:rsid w:val="003B5E9F"/>
    <w:rsid w:val="003B74D0"/>
    <w:rsid w:val="003B7ECE"/>
    <w:rsid w:val="003D52FF"/>
    <w:rsid w:val="003E1739"/>
    <w:rsid w:val="003E1C20"/>
    <w:rsid w:val="003E1CFE"/>
    <w:rsid w:val="003E2217"/>
    <w:rsid w:val="003F3C74"/>
    <w:rsid w:val="003F4343"/>
    <w:rsid w:val="00412862"/>
    <w:rsid w:val="0041677B"/>
    <w:rsid w:val="00417E06"/>
    <w:rsid w:val="00422FE1"/>
    <w:rsid w:val="004242EC"/>
    <w:rsid w:val="0042516F"/>
    <w:rsid w:val="0042741C"/>
    <w:rsid w:val="004346CF"/>
    <w:rsid w:val="00434D42"/>
    <w:rsid w:val="00436B43"/>
    <w:rsid w:val="00442E13"/>
    <w:rsid w:val="004501DE"/>
    <w:rsid w:val="00450374"/>
    <w:rsid w:val="004516C5"/>
    <w:rsid w:val="00452CBC"/>
    <w:rsid w:val="00462F97"/>
    <w:rsid w:val="0046587D"/>
    <w:rsid w:val="00474204"/>
    <w:rsid w:val="00474F37"/>
    <w:rsid w:val="00497DD7"/>
    <w:rsid w:val="004A09D0"/>
    <w:rsid w:val="004A0EC9"/>
    <w:rsid w:val="004B122E"/>
    <w:rsid w:val="004B492E"/>
    <w:rsid w:val="004B78BE"/>
    <w:rsid w:val="004C6708"/>
    <w:rsid w:val="004D04B5"/>
    <w:rsid w:val="004D744C"/>
    <w:rsid w:val="004E0F11"/>
    <w:rsid w:val="004E75BC"/>
    <w:rsid w:val="004F49E9"/>
    <w:rsid w:val="004F7D6D"/>
    <w:rsid w:val="00502302"/>
    <w:rsid w:val="00517725"/>
    <w:rsid w:val="00523E7A"/>
    <w:rsid w:val="00525F59"/>
    <w:rsid w:val="00545E6A"/>
    <w:rsid w:val="0055467D"/>
    <w:rsid w:val="005618C6"/>
    <w:rsid w:val="00570D8C"/>
    <w:rsid w:val="0057532F"/>
    <w:rsid w:val="00577ABD"/>
    <w:rsid w:val="005857BE"/>
    <w:rsid w:val="00595107"/>
    <w:rsid w:val="005A4D24"/>
    <w:rsid w:val="005B1147"/>
    <w:rsid w:val="005B18F6"/>
    <w:rsid w:val="005B1B30"/>
    <w:rsid w:val="005B4417"/>
    <w:rsid w:val="005B5931"/>
    <w:rsid w:val="005C31F9"/>
    <w:rsid w:val="005E35DE"/>
    <w:rsid w:val="005F15E3"/>
    <w:rsid w:val="005F4F03"/>
    <w:rsid w:val="005F574A"/>
    <w:rsid w:val="00607639"/>
    <w:rsid w:val="00615D1E"/>
    <w:rsid w:val="00647B3A"/>
    <w:rsid w:val="0065343A"/>
    <w:rsid w:val="00657474"/>
    <w:rsid w:val="00657C49"/>
    <w:rsid w:val="00662CEE"/>
    <w:rsid w:val="0067205C"/>
    <w:rsid w:val="00672A4A"/>
    <w:rsid w:val="00680230"/>
    <w:rsid w:val="00683EA1"/>
    <w:rsid w:val="00690A72"/>
    <w:rsid w:val="00690F07"/>
    <w:rsid w:val="00693081"/>
    <w:rsid w:val="00693238"/>
    <w:rsid w:val="006964AE"/>
    <w:rsid w:val="006A282B"/>
    <w:rsid w:val="006A3A6E"/>
    <w:rsid w:val="006A560D"/>
    <w:rsid w:val="006B2023"/>
    <w:rsid w:val="006C6BF3"/>
    <w:rsid w:val="006D546D"/>
    <w:rsid w:val="006E252D"/>
    <w:rsid w:val="006E273E"/>
    <w:rsid w:val="006E398A"/>
    <w:rsid w:val="006F3001"/>
    <w:rsid w:val="00704779"/>
    <w:rsid w:val="00705A42"/>
    <w:rsid w:val="00706594"/>
    <w:rsid w:val="00716475"/>
    <w:rsid w:val="00727805"/>
    <w:rsid w:val="00730C31"/>
    <w:rsid w:val="00731854"/>
    <w:rsid w:val="007450E8"/>
    <w:rsid w:val="00745C12"/>
    <w:rsid w:val="007529E8"/>
    <w:rsid w:val="00752AAC"/>
    <w:rsid w:val="00762B00"/>
    <w:rsid w:val="0078084F"/>
    <w:rsid w:val="00781CF9"/>
    <w:rsid w:val="00785956"/>
    <w:rsid w:val="00785B8F"/>
    <w:rsid w:val="00790BA3"/>
    <w:rsid w:val="00792525"/>
    <w:rsid w:val="007A4B06"/>
    <w:rsid w:val="007B7543"/>
    <w:rsid w:val="007B7FEC"/>
    <w:rsid w:val="007C0359"/>
    <w:rsid w:val="007D1041"/>
    <w:rsid w:val="007D1FFA"/>
    <w:rsid w:val="007E0C24"/>
    <w:rsid w:val="007F4E6E"/>
    <w:rsid w:val="007F6154"/>
    <w:rsid w:val="007F724E"/>
    <w:rsid w:val="008021D4"/>
    <w:rsid w:val="008117F0"/>
    <w:rsid w:val="008207FD"/>
    <w:rsid w:val="00820AA8"/>
    <w:rsid w:val="00820CB1"/>
    <w:rsid w:val="00831D8A"/>
    <w:rsid w:val="00836EFB"/>
    <w:rsid w:val="0085015B"/>
    <w:rsid w:val="00862832"/>
    <w:rsid w:val="00863B4D"/>
    <w:rsid w:val="00871338"/>
    <w:rsid w:val="0087241F"/>
    <w:rsid w:val="00874875"/>
    <w:rsid w:val="00876AD1"/>
    <w:rsid w:val="008835B1"/>
    <w:rsid w:val="008853C0"/>
    <w:rsid w:val="008868EB"/>
    <w:rsid w:val="00892C9B"/>
    <w:rsid w:val="00896BA1"/>
    <w:rsid w:val="008A5F0D"/>
    <w:rsid w:val="008B27CC"/>
    <w:rsid w:val="008B6F8A"/>
    <w:rsid w:val="008B76A1"/>
    <w:rsid w:val="008C75A2"/>
    <w:rsid w:val="008E358D"/>
    <w:rsid w:val="009012CE"/>
    <w:rsid w:val="00905AA3"/>
    <w:rsid w:val="00912B98"/>
    <w:rsid w:val="00916807"/>
    <w:rsid w:val="009174C7"/>
    <w:rsid w:val="00923263"/>
    <w:rsid w:val="00923840"/>
    <w:rsid w:val="00926102"/>
    <w:rsid w:val="00927379"/>
    <w:rsid w:val="00931977"/>
    <w:rsid w:val="0093441D"/>
    <w:rsid w:val="00936C18"/>
    <w:rsid w:val="009406AF"/>
    <w:rsid w:val="009446F3"/>
    <w:rsid w:val="009531CF"/>
    <w:rsid w:val="00953621"/>
    <w:rsid w:val="00960C0E"/>
    <w:rsid w:val="00961BAF"/>
    <w:rsid w:val="00967FC3"/>
    <w:rsid w:val="00985658"/>
    <w:rsid w:val="00992C02"/>
    <w:rsid w:val="00995A87"/>
    <w:rsid w:val="009A7413"/>
    <w:rsid w:val="009B323F"/>
    <w:rsid w:val="009B4AF6"/>
    <w:rsid w:val="009B539B"/>
    <w:rsid w:val="009D19A6"/>
    <w:rsid w:val="009D217E"/>
    <w:rsid w:val="009D626E"/>
    <w:rsid w:val="009E0052"/>
    <w:rsid w:val="009E1DAD"/>
    <w:rsid w:val="009E47F2"/>
    <w:rsid w:val="009F01EB"/>
    <w:rsid w:val="00A0079B"/>
    <w:rsid w:val="00A03993"/>
    <w:rsid w:val="00A0506D"/>
    <w:rsid w:val="00A1144A"/>
    <w:rsid w:val="00A12116"/>
    <w:rsid w:val="00A15EB8"/>
    <w:rsid w:val="00A209CB"/>
    <w:rsid w:val="00A20EDE"/>
    <w:rsid w:val="00A2257C"/>
    <w:rsid w:val="00A23A15"/>
    <w:rsid w:val="00A33029"/>
    <w:rsid w:val="00A35E68"/>
    <w:rsid w:val="00A41007"/>
    <w:rsid w:val="00A43622"/>
    <w:rsid w:val="00A56F2E"/>
    <w:rsid w:val="00A579AA"/>
    <w:rsid w:val="00A6251A"/>
    <w:rsid w:val="00A75116"/>
    <w:rsid w:val="00A82189"/>
    <w:rsid w:val="00A848F5"/>
    <w:rsid w:val="00A878E9"/>
    <w:rsid w:val="00A90166"/>
    <w:rsid w:val="00A90C88"/>
    <w:rsid w:val="00A920F4"/>
    <w:rsid w:val="00A93B05"/>
    <w:rsid w:val="00AA40AB"/>
    <w:rsid w:val="00AA5897"/>
    <w:rsid w:val="00AB3246"/>
    <w:rsid w:val="00AB3646"/>
    <w:rsid w:val="00AC0260"/>
    <w:rsid w:val="00AD19CF"/>
    <w:rsid w:val="00AD3855"/>
    <w:rsid w:val="00AD5740"/>
    <w:rsid w:val="00AE099E"/>
    <w:rsid w:val="00AE24DC"/>
    <w:rsid w:val="00AE3BFE"/>
    <w:rsid w:val="00AF2319"/>
    <w:rsid w:val="00AF5E37"/>
    <w:rsid w:val="00AF635E"/>
    <w:rsid w:val="00B03736"/>
    <w:rsid w:val="00B11036"/>
    <w:rsid w:val="00B11EEB"/>
    <w:rsid w:val="00B20A4A"/>
    <w:rsid w:val="00B24D14"/>
    <w:rsid w:val="00B253A5"/>
    <w:rsid w:val="00B32942"/>
    <w:rsid w:val="00B50DE3"/>
    <w:rsid w:val="00B57033"/>
    <w:rsid w:val="00B6559F"/>
    <w:rsid w:val="00B66399"/>
    <w:rsid w:val="00B66417"/>
    <w:rsid w:val="00B67DC8"/>
    <w:rsid w:val="00B7017B"/>
    <w:rsid w:val="00B73F0E"/>
    <w:rsid w:val="00B7527C"/>
    <w:rsid w:val="00B75F0A"/>
    <w:rsid w:val="00B821E6"/>
    <w:rsid w:val="00B82839"/>
    <w:rsid w:val="00B85279"/>
    <w:rsid w:val="00B90BF1"/>
    <w:rsid w:val="00B9378B"/>
    <w:rsid w:val="00B955DB"/>
    <w:rsid w:val="00B97850"/>
    <w:rsid w:val="00BA0C38"/>
    <w:rsid w:val="00BB038F"/>
    <w:rsid w:val="00BB161F"/>
    <w:rsid w:val="00BB5146"/>
    <w:rsid w:val="00BC1CC9"/>
    <w:rsid w:val="00BC68AE"/>
    <w:rsid w:val="00BD2D89"/>
    <w:rsid w:val="00BF07C3"/>
    <w:rsid w:val="00BF2F3A"/>
    <w:rsid w:val="00C02561"/>
    <w:rsid w:val="00C0502F"/>
    <w:rsid w:val="00C05273"/>
    <w:rsid w:val="00C079E9"/>
    <w:rsid w:val="00C16C13"/>
    <w:rsid w:val="00C17EB5"/>
    <w:rsid w:val="00C20541"/>
    <w:rsid w:val="00C3316C"/>
    <w:rsid w:val="00C41969"/>
    <w:rsid w:val="00C468F1"/>
    <w:rsid w:val="00C4722D"/>
    <w:rsid w:val="00C56737"/>
    <w:rsid w:val="00C62AD9"/>
    <w:rsid w:val="00C77C44"/>
    <w:rsid w:val="00C77FCD"/>
    <w:rsid w:val="00C9141E"/>
    <w:rsid w:val="00C9458B"/>
    <w:rsid w:val="00C95FEE"/>
    <w:rsid w:val="00C96B2B"/>
    <w:rsid w:val="00C97BE2"/>
    <w:rsid w:val="00CA36E3"/>
    <w:rsid w:val="00CA6E23"/>
    <w:rsid w:val="00CB1EF7"/>
    <w:rsid w:val="00CB417D"/>
    <w:rsid w:val="00CB46F9"/>
    <w:rsid w:val="00CB7209"/>
    <w:rsid w:val="00CC16F1"/>
    <w:rsid w:val="00CD02FD"/>
    <w:rsid w:val="00CD4A86"/>
    <w:rsid w:val="00CD5D44"/>
    <w:rsid w:val="00CF6F10"/>
    <w:rsid w:val="00D1388A"/>
    <w:rsid w:val="00D32842"/>
    <w:rsid w:val="00D35B1C"/>
    <w:rsid w:val="00D438B9"/>
    <w:rsid w:val="00D44474"/>
    <w:rsid w:val="00D537C3"/>
    <w:rsid w:val="00D57DCA"/>
    <w:rsid w:val="00D62903"/>
    <w:rsid w:val="00D63A5A"/>
    <w:rsid w:val="00D70B8B"/>
    <w:rsid w:val="00D73026"/>
    <w:rsid w:val="00D76644"/>
    <w:rsid w:val="00D82966"/>
    <w:rsid w:val="00DA1022"/>
    <w:rsid w:val="00DA657F"/>
    <w:rsid w:val="00DB3089"/>
    <w:rsid w:val="00DB619E"/>
    <w:rsid w:val="00DB61DA"/>
    <w:rsid w:val="00DB75A9"/>
    <w:rsid w:val="00DC4BCD"/>
    <w:rsid w:val="00DC5D57"/>
    <w:rsid w:val="00DD0197"/>
    <w:rsid w:val="00DD342A"/>
    <w:rsid w:val="00DD68C2"/>
    <w:rsid w:val="00DD6E17"/>
    <w:rsid w:val="00DE1AD6"/>
    <w:rsid w:val="00DF6705"/>
    <w:rsid w:val="00E02FA5"/>
    <w:rsid w:val="00E06721"/>
    <w:rsid w:val="00E13A9D"/>
    <w:rsid w:val="00E27102"/>
    <w:rsid w:val="00E30ADF"/>
    <w:rsid w:val="00E33FDC"/>
    <w:rsid w:val="00E51B8E"/>
    <w:rsid w:val="00E52322"/>
    <w:rsid w:val="00E637E9"/>
    <w:rsid w:val="00E67908"/>
    <w:rsid w:val="00E75007"/>
    <w:rsid w:val="00E766C3"/>
    <w:rsid w:val="00E82151"/>
    <w:rsid w:val="00E83F6D"/>
    <w:rsid w:val="00E9660D"/>
    <w:rsid w:val="00EA3100"/>
    <w:rsid w:val="00EB0B7C"/>
    <w:rsid w:val="00EB5152"/>
    <w:rsid w:val="00EB624E"/>
    <w:rsid w:val="00EB75FC"/>
    <w:rsid w:val="00EC2D4E"/>
    <w:rsid w:val="00EC622B"/>
    <w:rsid w:val="00ED0D9F"/>
    <w:rsid w:val="00ED1142"/>
    <w:rsid w:val="00ED15B4"/>
    <w:rsid w:val="00ED2A7A"/>
    <w:rsid w:val="00ED34F3"/>
    <w:rsid w:val="00ED3701"/>
    <w:rsid w:val="00ED50F6"/>
    <w:rsid w:val="00ED75E5"/>
    <w:rsid w:val="00EE3E93"/>
    <w:rsid w:val="00EE43C2"/>
    <w:rsid w:val="00EE6120"/>
    <w:rsid w:val="00EF300F"/>
    <w:rsid w:val="00F008E1"/>
    <w:rsid w:val="00F01EE8"/>
    <w:rsid w:val="00F1198F"/>
    <w:rsid w:val="00F27875"/>
    <w:rsid w:val="00F27892"/>
    <w:rsid w:val="00F30C8B"/>
    <w:rsid w:val="00F31068"/>
    <w:rsid w:val="00F31EE9"/>
    <w:rsid w:val="00F3264A"/>
    <w:rsid w:val="00F506F2"/>
    <w:rsid w:val="00F54208"/>
    <w:rsid w:val="00F57877"/>
    <w:rsid w:val="00F61575"/>
    <w:rsid w:val="00F64D28"/>
    <w:rsid w:val="00F64DE3"/>
    <w:rsid w:val="00F77DFD"/>
    <w:rsid w:val="00F91D14"/>
    <w:rsid w:val="00FA1123"/>
    <w:rsid w:val="00FA663A"/>
    <w:rsid w:val="00FB0C96"/>
    <w:rsid w:val="00FB10EF"/>
    <w:rsid w:val="00FB38FA"/>
    <w:rsid w:val="00FB3B58"/>
    <w:rsid w:val="00FB73F9"/>
    <w:rsid w:val="00FC0E43"/>
    <w:rsid w:val="00FD501D"/>
    <w:rsid w:val="00FE1F50"/>
    <w:rsid w:val="00FE60C0"/>
    <w:rsid w:val="00FE7F6D"/>
    <w:rsid w:val="00FF1100"/>
    <w:rsid w:val="00FF4AEA"/>
    <w:rsid w:val="00FF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2FF"/>
    <w:rPr>
      <w:iCs/>
      <w:sz w:val="24"/>
      <w:lang w:val="fr-BE" w:eastAsia="en-US"/>
    </w:rPr>
  </w:style>
  <w:style w:type="paragraph" w:styleId="1">
    <w:name w:val="heading 1"/>
    <w:basedOn w:val="a"/>
    <w:next w:val="a"/>
    <w:qFormat/>
    <w:rsid w:val="003D52FF"/>
    <w:pPr>
      <w:keepNext/>
      <w:jc w:val="both"/>
      <w:outlineLvl w:val="0"/>
    </w:pPr>
    <w:rPr>
      <w:rFonts w:ascii="Arial" w:hAnsi="Arial" w:cs="Arial"/>
      <w:sz w:val="28"/>
      <w:szCs w:val="24"/>
      <w:lang w:val="el-GR"/>
    </w:rPr>
  </w:style>
  <w:style w:type="paragraph" w:styleId="2">
    <w:name w:val="heading 2"/>
    <w:basedOn w:val="a"/>
    <w:next w:val="a"/>
    <w:link w:val="2Char"/>
    <w:unhideWhenUsed/>
    <w:qFormat/>
    <w:rsid w:val="00AA5897"/>
    <w:pPr>
      <w:keepNext/>
      <w:spacing w:before="240" w:after="60"/>
      <w:outlineLvl w:val="1"/>
    </w:pPr>
    <w:rPr>
      <w:rFonts w:ascii="Cambria" w:hAnsi="Cambria"/>
      <w:b/>
      <w:bCs/>
      <w:i/>
      <w:i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52FF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D52FF"/>
    <w:pPr>
      <w:tabs>
        <w:tab w:val="center" w:pos="4536"/>
        <w:tab w:val="right" w:pos="9072"/>
      </w:tabs>
    </w:pPr>
  </w:style>
  <w:style w:type="character" w:styleId="a5">
    <w:name w:val="annotation reference"/>
    <w:semiHidden/>
    <w:rsid w:val="003D52FF"/>
    <w:rPr>
      <w:sz w:val="16"/>
      <w:szCs w:val="16"/>
    </w:rPr>
  </w:style>
  <w:style w:type="paragraph" w:styleId="a6">
    <w:name w:val="annotation text"/>
    <w:basedOn w:val="a"/>
    <w:semiHidden/>
    <w:rsid w:val="003D52FF"/>
    <w:rPr>
      <w:sz w:val="20"/>
    </w:rPr>
  </w:style>
  <w:style w:type="character" w:styleId="-">
    <w:name w:val="Hyperlink"/>
    <w:uiPriority w:val="99"/>
    <w:rsid w:val="003D52FF"/>
    <w:rPr>
      <w:color w:val="0000FF"/>
      <w:u w:val="single"/>
    </w:rPr>
  </w:style>
  <w:style w:type="character" w:styleId="-0">
    <w:name w:val="FollowedHyperlink"/>
    <w:rsid w:val="003D52FF"/>
    <w:rPr>
      <w:color w:val="800080"/>
      <w:u w:val="single"/>
    </w:rPr>
  </w:style>
  <w:style w:type="paragraph" w:styleId="a7">
    <w:name w:val="Body Text"/>
    <w:basedOn w:val="a"/>
    <w:rsid w:val="003D52FF"/>
    <w:pPr>
      <w:jc w:val="both"/>
    </w:pPr>
    <w:rPr>
      <w:i/>
      <w:szCs w:val="24"/>
      <w:lang w:val="el-GR" w:eastAsia="el-GR"/>
    </w:rPr>
  </w:style>
  <w:style w:type="paragraph" w:styleId="a8">
    <w:name w:val="Balloon Text"/>
    <w:basedOn w:val="a"/>
    <w:semiHidden/>
    <w:rsid w:val="003D52FF"/>
    <w:rPr>
      <w:rFonts w:ascii="Tahoma" w:hAnsi="Tahoma" w:cs="Tahoma"/>
      <w:sz w:val="16"/>
      <w:szCs w:val="16"/>
    </w:rPr>
  </w:style>
  <w:style w:type="character" w:customStyle="1" w:styleId="lettrine-orange1">
    <w:name w:val="lettrine-orange1"/>
    <w:rsid w:val="003D52FF"/>
    <w:rPr>
      <w:rFonts w:ascii="Arial" w:hAnsi="Arial" w:cs="Arial" w:hint="default"/>
      <w:b/>
      <w:bCs/>
      <w:color w:val="FF6600"/>
      <w:sz w:val="27"/>
      <w:szCs w:val="27"/>
    </w:rPr>
  </w:style>
  <w:style w:type="paragraph" w:styleId="Web">
    <w:name w:val="Normal (Web)"/>
    <w:basedOn w:val="a"/>
    <w:rsid w:val="003D52FF"/>
    <w:pPr>
      <w:spacing w:before="100" w:beforeAutospacing="1" w:after="100" w:afterAutospacing="1"/>
    </w:pPr>
    <w:rPr>
      <w:iCs w:val="0"/>
      <w:szCs w:val="24"/>
      <w:lang w:val="fr-FR" w:eastAsia="fr-FR"/>
    </w:rPr>
  </w:style>
  <w:style w:type="table" w:styleId="a9">
    <w:name w:val="Table Grid"/>
    <w:basedOn w:val="a1"/>
    <w:rsid w:val="009446F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EF300F"/>
  </w:style>
  <w:style w:type="paragraph" w:styleId="ab">
    <w:name w:val="No Spacing"/>
    <w:uiPriority w:val="1"/>
    <w:qFormat/>
    <w:rsid w:val="007B7FEC"/>
    <w:rPr>
      <w:rFonts w:ascii="Calibri" w:eastAsia="Calibri" w:hAnsi="Calibri"/>
      <w:sz w:val="22"/>
      <w:szCs w:val="22"/>
      <w:lang w:eastAsia="en-US"/>
    </w:rPr>
  </w:style>
  <w:style w:type="character" w:customStyle="1" w:styleId="2Char">
    <w:name w:val="Επικεφαλίδα 2 Char"/>
    <w:link w:val="2"/>
    <w:rsid w:val="00AA5897"/>
    <w:rPr>
      <w:rFonts w:ascii="Cambria" w:eastAsia="Times New Roman" w:hAnsi="Cambria" w:cs="Times New Roman"/>
      <w:b/>
      <w:bCs/>
      <w:i/>
      <w:sz w:val="28"/>
      <w:szCs w:val="28"/>
      <w:lang w:val="fr-BE" w:eastAsia="en-US"/>
    </w:rPr>
  </w:style>
  <w:style w:type="character" w:customStyle="1" w:styleId="xbe">
    <w:name w:val="_xbe"/>
    <w:rsid w:val="00D63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Bruxelles, le jeudi 17 mai 2001</vt:lpstr>
      <vt:lpstr>Bruxelles, le jeudi 17 mai 2001</vt:lpstr>
    </vt:vector>
  </TitlesOfParts>
  <Company>RYD- Micro Digit</Company>
  <LinksUpToDate>false</LinksUpToDate>
  <CharactersWithSpaces>3982</CharactersWithSpaces>
  <SharedDoc>false</SharedDoc>
  <HLinks>
    <vt:vector size="12" baseType="variant">
      <vt:variant>
        <vt:i4>8323115</vt:i4>
      </vt:variant>
      <vt:variant>
        <vt:i4>5</vt:i4>
      </vt:variant>
      <vt:variant>
        <vt:i4>0</vt:i4>
      </vt:variant>
      <vt:variant>
        <vt:i4>5</vt:i4>
      </vt:variant>
      <vt:variant>
        <vt:lpwstr>http://www.ioas.gr/</vt:lpwstr>
      </vt:variant>
      <vt:variant>
        <vt:lpwstr/>
      </vt:variant>
      <vt:variant>
        <vt:i4>5636205</vt:i4>
      </vt:variant>
      <vt:variant>
        <vt:i4>2</vt:i4>
      </vt:variant>
      <vt:variant>
        <vt:i4>0</vt:i4>
      </vt:variant>
      <vt:variant>
        <vt:i4>5</vt:i4>
      </vt:variant>
      <vt:variant>
        <vt:lpwstr>mailto:info@ioas.gr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Bruxelles, le jeudi 17 mai 2001</dc:title>
  <dc:creator>olivier</dc:creator>
  <cp:lastModifiedBy>admin</cp:lastModifiedBy>
  <cp:revision>2</cp:revision>
  <cp:lastPrinted>2019-10-10T12:13:00Z</cp:lastPrinted>
  <dcterms:created xsi:type="dcterms:W3CDTF">2020-07-01T21:35:00Z</dcterms:created>
  <dcterms:modified xsi:type="dcterms:W3CDTF">2020-07-01T21:35:00Z</dcterms:modified>
</cp:coreProperties>
</file>